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43" w:rsidRDefault="002C0DA1" w:rsidP="00E63D43">
      <w:pPr>
        <w:wordWrap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>令和３年１０月１８</w:t>
      </w:r>
      <w:r w:rsidR="00F942B2" w:rsidRPr="00F942B2">
        <w:rPr>
          <w:rFonts w:hint="eastAsia"/>
          <w:szCs w:val="24"/>
        </w:rPr>
        <w:t>日</w:t>
      </w:r>
      <w:r w:rsidR="00E63D43">
        <w:rPr>
          <w:rFonts w:hint="eastAsia"/>
          <w:szCs w:val="24"/>
        </w:rPr>
        <w:t xml:space="preserve">　</w:t>
      </w:r>
    </w:p>
    <w:p w:rsidR="00F942B2" w:rsidRDefault="00F942B2" w:rsidP="00E63D43">
      <w:pPr>
        <w:autoSpaceDE w:val="0"/>
        <w:autoSpaceDN w:val="0"/>
        <w:jc w:val="left"/>
        <w:rPr>
          <w:szCs w:val="24"/>
        </w:rPr>
      </w:pPr>
      <w:r w:rsidRPr="00F942B2">
        <w:rPr>
          <w:rFonts w:hint="eastAsia"/>
          <w:szCs w:val="24"/>
        </w:rPr>
        <w:t>小中学校保護者の皆さまへ</w:t>
      </w:r>
    </w:p>
    <w:p w:rsidR="00E63D43" w:rsidRPr="00F942B2" w:rsidRDefault="00E63D43" w:rsidP="00E63D43">
      <w:pPr>
        <w:autoSpaceDE w:val="0"/>
        <w:autoSpaceDN w:val="0"/>
        <w:jc w:val="left"/>
        <w:rPr>
          <w:szCs w:val="24"/>
        </w:rPr>
      </w:pPr>
    </w:p>
    <w:p w:rsidR="00D86CC9" w:rsidRDefault="00F942B2" w:rsidP="00E63D43">
      <w:pPr>
        <w:autoSpaceDE w:val="0"/>
        <w:autoSpaceDN w:val="0"/>
        <w:ind w:right="238"/>
        <w:jc w:val="right"/>
        <w:rPr>
          <w:kern w:val="0"/>
          <w:szCs w:val="24"/>
        </w:rPr>
      </w:pPr>
      <w:r w:rsidRPr="00E63D43">
        <w:rPr>
          <w:rFonts w:hint="eastAsia"/>
          <w:spacing w:val="30"/>
          <w:kern w:val="0"/>
          <w:szCs w:val="24"/>
          <w:fitText w:val="2400" w:id="-1703141120"/>
        </w:rPr>
        <w:t>犬山市教育委員会</w:t>
      </w:r>
      <w:r w:rsidR="00E63D43">
        <w:rPr>
          <w:rFonts w:hint="eastAsia"/>
          <w:kern w:val="0"/>
          <w:szCs w:val="24"/>
        </w:rPr>
        <w:t xml:space="preserve">　　</w:t>
      </w:r>
    </w:p>
    <w:p w:rsidR="00E63D43" w:rsidRPr="00D86CC9" w:rsidRDefault="00E63D43" w:rsidP="00E63D43">
      <w:pPr>
        <w:autoSpaceDE w:val="0"/>
        <w:autoSpaceDN w:val="0"/>
        <w:ind w:right="-2" w:firstLineChars="2500" w:firstLine="6000"/>
        <w:jc w:val="right"/>
        <w:rPr>
          <w:kern w:val="0"/>
          <w:szCs w:val="24"/>
        </w:rPr>
      </w:pPr>
    </w:p>
    <w:p w:rsidR="00CD73AD" w:rsidRPr="002C0DA1" w:rsidRDefault="00B33B2E" w:rsidP="00475E41">
      <w:pPr>
        <w:jc w:val="center"/>
        <w:rPr>
          <w:rFonts w:hAnsi="ＭＳ 明朝" w:cstheme="minorBidi"/>
          <w:szCs w:val="24"/>
        </w:rPr>
      </w:pPr>
      <w:r w:rsidRPr="002C0DA1">
        <w:rPr>
          <w:rFonts w:hAnsi="ＭＳ 明朝" w:hint="eastAsia"/>
          <w:szCs w:val="24"/>
        </w:rPr>
        <w:t>「愛知県厳重警戒措置」の解除に伴う対応について</w:t>
      </w:r>
    </w:p>
    <w:p w:rsidR="00F122CF" w:rsidRPr="002C0DA1" w:rsidRDefault="00F122CF" w:rsidP="00D86CC9">
      <w:pPr>
        <w:autoSpaceDE w:val="0"/>
        <w:autoSpaceDN w:val="0"/>
        <w:rPr>
          <w:szCs w:val="24"/>
        </w:rPr>
      </w:pPr>
    </w:p>
    <w:p w:rsidR="00B33B2E" w:rsidRPr="002C0DA1" w:rsidRDefault="00DA4457" w:rsidP="00F942B2">
      <w:pPr>
        <w:autoSpaceDE w:val="0"/>
        <w:autoSpaceDN w:val="0"/>
        <w:ind w:right="-2" w:firstLineChars="100" w:firstLine="240"/>
        <w:rPr>
          <w:rFonts w:hAnsi="ＭＳ 明朝" w:cstheme="minorBidi"/>
          <w:szCs w:val="24"/>
        </w:rPr>
      </w:pPr>
      <w:r>
        <w:rPr>
          <w:rFonts w:hAnsi="ＭＳ 明朝" w:cstheme="minorBidi" w:hint="eastAsia"/>
          <w:szCs w:val="24"/>
        </w:rPr>
        <w:t>愛知県は、１０</w:t>
      </w:r>
      <w:bookmarkStart w:id="0" w:name="_GoBack"/>
      <w:bookmarkEnd w:id="0"/>
      <w:r w:rsidR="00F942B2" w:rsidRPr="002C0DA1">
        <w:rPr>
          <w:rFonts w:hAnsi="ＭＳ 明朝" w:cstheme="minorBidi" w:hint="eastAsia"/>
          <w:szCs w:val="24"/>
        </w:rPr>
        <w:t>月１７日をもって</w:t>
      </w:r>
      <w:r w:rsidR="00B33B2E" w:rsidRPr="002C0DA1">
        <w:rPr>
          <w:rFonts w:hAnsi="ＭＳ 明朝" w:cstheme="minorBidi" w:hint="eastAsia"/>
          <w:szCs w:val="24"/>
        </w:rPr>
        <w:t>「愛</w:t>
      </w:r>
      <w:r w:rsidR="00F942B2" w:rsidRPr="002C0DA1">
        <w:rPr>
          <w:rFonts w:hAnsi="ＭＳ 明朝" w:cstheme="minorBidi" w:hint="eastAsia"/>
          <w:szCs w:val="24"/>
        </w:rPr>
        <w:t>知県厳重警戒措置」を解除することを決定しました</w:t>
      </w:r>
      <w:r w:rsidR="00B33B2E" w:rsidRPr="002C0DA1">
        <w:rPr>
          <w:rFonts w:hAnsi="ＭＳ 明朝" w:cstheme="minorBidi" w:hint="eastAsia"/>
          <w:szCs w:val="24"/>
        </w:rPr>
        <w:t>。</w:t>
      </w:r>
    </w:p>
    <w:p w:rsidR="00D86CC9" w:rsidRPr="002C0DA1" w:rsidRDefault="00EB51D6" w:rsidP="007515B9">
      <w:pPr>
        <w:spacing w:line="400" w:lineRule="exact"/>
        <w:ind w:firstLineChars="100" w:firstLine="240"/>
        <w:rPr>
          <w:rFonts w:hAnsi="ＭＳ 明朝" w:cstheme="minorBidi"/>
          <w:szCs w:val="24"/>
        </w:rPr>
      </w:pPr>
      <w:r w:rsidRPr="002C0DA1">
        <w:rPr>
          <w:rFonts w:hAnsi="ＭＳ 明朝" w:cstheme="minorBidi" w:hint="eastAsia"/>
          <w:szCs w:val="24"/>
        </w:rPr>
        <w:t>このこと</w:t>
      </w:r>
      <w:r w:rsidR="00F942B2" w:rsidRPr="002C0DA1">
        <w:rPr>
          <w:rFonts w:hAnsi="ＭＳ 明朝" w:cstheme="minorBidi" w:hint="eastAsia"/>
          <w:szCs w:val="24"/>
        </w:rPr>
        <w:t>を受け、犬山市教育委員会</w:t>
      </w:r>
      <w:r w:rsidR="00475E41" w:rsidRPr="002C0DA1">
        <w:rPr>
          <w:rFonts w:hAnsi="ＭＳ 明朝" w:cstheme="minorBidi" w:hint="eastAsia"/>
          <w:szCs w:val="24"/>
        </w:rPr>
        <w:t>として</w:t>
      </w:r>
      <w:r w:rsidR="00E63D43" w:rsidRPr="002C0DA1">
        <w:rPr>
          <w:rFonts w:hAnsi="ＭＳ 明朝" w:cstheme="minorBidi" w:hint="eastAsia"/>
          <w:szCs w:val="24"/>
        </w:rPr>
        <w:t>、</w:t>
      </w:r>
      <w:r w:rsidR="00475E41" w:rsidRPr="002C0DA1">
        <w:rPr>
          <w:rFonts w:hAnsi="ＭＳ 明朝" w:cstheme="minorBidi" w:hint="eastAsia"/>
          <w:szCs w:val="24"/>
        </w:rPr>
        <w:t>下記の</w:t>
      </w:r>
      <w:r w:rsidR="006C43FF" w:rsidRPr="002C0DA1">
        <w:rPr>
          <w:rFonts w:hAnsi="ＭＳ 明朝" w:cstheme="minorBidi" w:hint="eastAsia"/>
          <w:szCs w:val="24"/>
        </w:rPr>
        <w:t>ように</w:t>
      </w:r>
      <w:r w:rsidR="00E63D43" w:rsidRPr="002C0DA1">
        <w:rPr>
          <w:rFonts w:hAnsi="ＭＳ 明朝" w:cstheme="minorBidi" w:hint="eastAsia"/>
          <w:szCs w:val="24"/>
        </w:rPr>
        <w:t>対応します。</w:t>
      </w:r>
      <w:r w:rsidR="004E5496" w:rsidRPr="002C0DA1">
        <w:rPr>
          <w:rFonts w:hAnsi="ＭＳ 明朝" w:cstheme="minorBidi" w:hint="eastAsia"/>
          <w:szCs w:val="24"/>
        </w:rPr>
        <w:t>解除後も、引き続き</w:t>
      </w:r>
      <w:r w:rsidRPr="002C0DA1">
        <w:rPr>
          <w:rFonts w:hAnsi="ＭＳ 明朝" w:cstheme="minorBidi" w:hint="eastAsia"/>
          <w:szCs w:val="24"/>
        </w:rPr>
        <w:t>感染防止</w:t>
      </w:r>
      <w:r w:rsidR="004E5496" w:rsidRPr="002C0DA1">
        <w:rPr>
          <w:rFonts w:hAnsi="ＭＳ 明朝" w:cstheme="minorBidi" w:hint="eastAsia"/>
          <w:szCs w:val="24"/>
        </w:rPr>
        <w:t>対策</w:t>
      </w:r>
      <w:r w:rsidR="00E63D43" w:rsidRPr="002C0DA1">
        <w:rPr>
          <w:rFonts w:hAnsi="ＭＳ 明朝" w:cstheme="minorBidi" w:hint="eastAsia"/>
          <w:szCs w:val="24"/>
        </w:rPr>
        <w:t>を徹底しながら学校教育活動を継続していくために、皆さまのご理解ご協力をお願い申し上げます</w:t>
      </w:r>
      <w:r w:rsidRPr="002C0DA1">
        <w:rPr>
          <w:rFonts w:hAnsi="ＭＳ 明朝" w:cstheme="minorBidi" w:hint="eastAsia"/>
          <w:szCs w:val="24"/>
        </w:rPr>
        <w:t>。</w:t>
      </w:r>
    </w:p>
    <w:p w:rsidR="00E63D43" w:rsidRPr="002C0DA1" w:rsidRDefault="00E63D43" w:rsidP="007515B9">
      <w:pPr>
        <w:spacing w:line="400" w:lineRule="exact"/>
        <w:ind w:firstLineChars="100" w:firstLine="240"/>
        <w:rPr>
          <w:rFonts w:hAnsi="ＭＳ 明朝" w:cstheme="minorBidi"/>
          <w:szCs w:val="24"/>
        </w:rPr>
      </w:pPr>
    </w:p>
    <w:p w:rsidR="00B33B2E" w:rsidRPr="002C0DA1" w:rsidRDefault="00B33B2E" w:rsidP="00B33B2E">
      <w:pPr>
        <w:spacing w:line="400" w:lineRule="exact"/>
        <w:ind w:firstLineChars="100" w:firstLine="240"/>
        <w:jc w:val="center"/>
        <w:rPr>
          <w:rFonts w:hAnsi="ＭＳ 明朝" w:cstheme="minorBidi"/>
          <w:szCs w:val="24"/>
        </w:rPr>
      </w:pPr>
      <w:r w:rsidRPr="002C0DA1">
        <w:rPr>
          <w:rFonts w:hAnsi="ＭＳ 明朝" w:cstheme="minorBidi" w:hint="eastAsia"/>
          <w:szCs w:val="24"/>
        </w:rPr>
        <w:t>記</w:t>
      </w:r>
    </w:p>
    <w:p w:rsidR="00E63D43" w:rsidRPr="002C0DA1" w:rsidRDefault="00E63D43" w:rsidP="00B33B2E">
      <w:pPr>
        <w:spacing w:line="400" w:lineRule="exact"/>
        <w:ind w:firstLineChars="100" w:firstLine="240"/>
        <w:jc w:val="center"/>
        <w:rPr>
          <w:rFonts w:hAnsi="ＭＳ 明朝" w:cstheme="minorBidi"/>
          <w:szCs w:val="24"/>
        </w:rPr>
      </w:pPr>
    </w:p>
    <w:p w:rsidR="00B33B2E" w:rsidRPr="002C0DA1" w:rsidRDefault="00B33B2E" w:rsidP="00B33B2E">
      <w:pPr>
        <w:spacing w:line="400" w:lineRule="exact"/>
        <w:rPr>
          <w:rFonts w:ascii="ＭＳ ゴシック" w:eastAsia="ＭＳ ゴシック" w:hAnsi="ＭＳ ゴシック" w:cstheme="minorBidi"/>
          <w:szCs w:val="24"/>
        </w:rPr>
      </w:pPr>
      <w:r w:rsidRPr="002C0DA1">
        <w:rPr>
          <w:rFonts w:ascii="ＭＳ ゴシック" w:eastAsia="ＭＳ ゴシック" w:hAnsi="ＭＳ ゴシック" w:cstheme="minorBidi" w:hint="eastAsia"/>
          <w:szCs w:val="24"/>
        </w:rPr>
        <w:t>１　地域の感染レベルと対応</w:t>
      </w:r>
    </w:p>
    <w:p w:rsidR="00B33B2E" w:rsidRPr="002C0DA1" w:rsidRDefault="00B33B2E" w:rsidP="00B33B2E">
      <w:pPr>
        <w:spacing w:line="400" w:lineRule="exact"/>
        <w:ind w:leftChars="100" w:left="240" w:firstLineChars="100" w:firstLine="240"/>
        <w:rPr>
          <w:rFonts w:hAnsi="ＭＳ 明朝" w:cstheme="minorBidi"/>
          <w:szCs w:val="24"/>
        </w:rPr>
      </w:pPr>
      <w:r w:rsidRPr="002C0DA1">
        <w:rPr>
          <w:rFonts w:hAnsi="ＭＳ 明朝" w:cstheme="minorBidi" w:hint="eastAsia"/>
          <w:szCs w:val="24"/>
        </w:rPr>
        <w:t>本県全体の地域の感染レベルは引き下げ</w:t>
      </w:r>
      <w:r w:rsidR="00AD2A9B" w:rsidRPr="002C0DA1">
        <w:rPr>
          <w:rFonts w:hAnsi="ＭＳ 明朝" w:cstheme="minorBidi" w:hint="eastAsia"/>
          <w:szCs w:val="24"/>
        </w:rPr>
        <w:t>られるが</w:t>
      </w:r>
      <w:r w:rsidRPr="002C0DA1">
        <w:rPr>
          <w:rFonts w:hAnsi="ＭＳ 明朝" w:cstheme="minorBidi" w:hint="eastAsia"/>
          <w:szCs w:val="24"/>
        </w:rPr>
        <w:t>、感染の再拡大を防止する</w:t>
      </w:r>
      <w:r w:rsidR="00AD2A9B" w:rsidRPr="002C0DA1">
        <w:rPr>
          <w:rFonts w:hAnsi="ＭＳ 明朝" w:cstheme="minorBidi" w:hint="eastAsia"/>
          <w:szCs w:val="24"/>
        </w:rPr>
        <w:t>ため、これまでの感染防止対策を継続しながら、教育活動を進める</w:t>
      </w:r>
      <w:r w:rsidRPr="002C0DA1">
        <w:rPr>
          <w:rFonts w:hAnsi="ＭＳ 明朝" w:cstheme="minorBidi" w:hint="eastAsia"/>
          <w:szCs w:val="24"/>
        </w:rPr>
        <w:t>。</w:t>
      </w:r>
    </w:p>
    <w:p w:rsidR="00E63D43" w:rsidRPr="002C0DA1" w:rsidRDefault="00E63D43" w:rsidP="00B33B2E">
      <w:pPr>
        <w:spacing w:line="400" w:lineRule="exact"/>
        <w:ind w:leftChars="100" w:left="240" w:firstLineChars="100" w:firstLine="240"/>
        <w:rPr>
          <w:rFonts w:hAnsi="ＭＳ 明朝" w:cstheme="minorBidi"/>
          <w:szCs w:val="24"/>
        </w:rPr>
      </w:pPr>
    </w:p>
    <w:p w:rsidR="00B33B2E" w:rsidRPr="002C0DA1" w:rsidRDefault="00B33B2E" w:rsidP="00B33B2E">
      <w:pPr>
        <w:spacing w:line="400" w:lineRule="exact"/>
        <w:rPr>
          <w:rFonts w:ascii="ＭＳ ゴシック" w:eastAsia="ＭＳ ゴシック" w:hAnsi="ＭＳ ゴシック" w:cstheme="minorBidi"/>
          <w:szCs w:val="24"/>
        </w:rPr>
      </w:pPr>
      <w:r w:rsidRPr="002C0DA1">
        <w:rPr>
          <w:rFonts w:ascii="ＭＳ ゴシック" w:eastAsia="ＭＳ ゴシック" w:hAnsi="ＭＳ ゴシック" w:cstheme="minorBidi" w:hint="eastAsia"/>
          <w:szCs w:val="24"/>
        </w:rPr>
        <w:t>２　対応の要点</w:t>
      </w:r>
    </w:p>
    <w:p w:rsidR="00B33B2E" w:rsidRPr="002C0DA1" w:rsidRDefault="00B33B2E" w:rsidP="00B33B2E">
      <w:pPr>
        <w:spacing w:line="400" w:lineRule="exact"/>
        <w:ind w:leftChars="98" w:left="823" w:hangingChars="245" w:hanging="588"/>
        <w:rPr>
          <w:rFonts w:hAnsi="ＭＳ 明朝" w:cstheme="minorBidi"/>
          <w:color w:val="000000" w:themeColor="text1"/>
          <w:szCs w:val="24"/>
        </w:rPr>
      </w:pPr>
      <w:r w:rsidRPr="002C0DA1">
        <w:rPr>
          <w:rFonts w:hAnsi="ＭＳ 明朝" w:cstheme="minorBidi" w:hint="eastAsia"/>
          <w:color w:val="000000" w:themeColor="text1"/>
          <w:szCs w:val="24"/>
        </w:rPr>
        <w:t>（１） 「感染症対策を講じてもなお感染のリスクが高い学習活動」を、徐々に再開する。</w:t>
      </w:r>
    </w:p>
    <w:p w:rsidR="00B33B2E" w:rsidRPr="002C0DA1" w:rsidRDefault="00B33B2E" w:rsidP="00B33B2E">
      <w:pPr>
        <w:spacing w:line="400" w:lineRule="exact"/>
        <w:ind w:leftChars="98" w:left="823" w:hangingChars="245" w:hanging="588"/>
        <w:rPr>
          <w:rFonts w:hAnsi="ＭＳ 明朝" w:cstheme="minorBidi"/>
          <w:color w:val="000000" w:themeColor="text1"/>
          <w:szCs w:val="24"/>
        </w:rPr>
      </w:pPr>
      <w:r w:rsidRPr="002C0DA1">
        <w:rPr>
          <w:rFonts w:hAnsi="ＭＳ 明朝" w:cstheme="minorBidi" w:hint="eastAsia"/>
          <w:color w:val="000000" w:themeColor="text1"/>
          <w:szCs w:val="24"/>
        </w:rPr>
        <w:t>（２）部活動について、児童生徒が密集する活動、近距離で組み合ったり接触したりする場面が多い活動、向かい合って発声する</w:t>
      </w:r>
      <w:r w:rsidR="00AD2A9B" w:rsidRPr="002C0DA1">
        <w:rPr>
          <w:rFonts w:hAnsi="ＭＳ 明朝" w:cstheme="minorBidi" w:hint="eastAsia"/>
          <w:color w:val="000000" w:themeColor="text1"/>
          <w:szCs w:val="24"/>
        </w:rPr>
        <w:t>活動及び室内で近距離で行う発声や演奏を伴う活動については、</w:t>
      </w:r>
      <w:r w:rsidRPr="002C0DA1">
        <w:rPr>
          <w:rFonts w:hAnsi="ＭＳ 明朝" w:cstheme="minorBidi" w:hint="eastAsia"/>
          <w:color w:val="000000" w:themeColor="text1"/>
          <w:szCs w:val="24"/>
        </w:rPr>
        <w:t>感染状況に応じて、徐々に再開する。</w:t>
      </w:r>
    </w:p>
    <w:p w:rsidR="00E63D43" w:rsidRPr="002C0DA1" w:rsidRDefault="00E63D43" w:rsidP="00B33B2E">
      <w:pPr>
        <w:spacing w:line="400" w:lineRule="exact"/>
        <w:ind w:leftChars="98" w:left="823" w:hangingChars="245" w:hanging="588"/>
        <w:rPr>
          <w:rFonts w:hAnsi="ＭＳ 明朝" w:cstheme="minorBidi"/>
          <w:color w:val="000000" w:themeColor="text1"/>
          <w:szCs w:val="24"/>
        </w:rPr>
      </w:pPr>
    </w:p>
    <w:p w:rsidR="00E63D43" w:rsidRPr="002C0DA1" w:rsidRDefault="00E63D43" w:rsidP="00E63D43">
      <w:pPr>
        <w:spacing w:line="420" w:lineRule="exact"/>
        <w:rPr>
          <w:rFonts w:ascii="ＭＳ ゴシック" w:eastAsia="ＭＳ ゴシック" w:hAnsi="ＭＳ ゴシック" w:cstheme="minorBidi"/>
          <w:szCs w:val="24"/>
        </w:rPr>
      </w:pPr>
      <w:r w:rsidRPr="002C0DA1">
        <w:rPr>
          <w:rFonts w:ascii="ＭＳ ゴシック" w:eastAsia="ＭＳ ゴシック" w:hAnsi="ＭＳ ゴシック" w:cstheme="minorBidi" w:hint="eastAsia"/>
          <w:szCs w:val="24"/>
        </w:rPr>
        <w:t>３　その他</w:t>
      </w:r>
    </w:p>
    <w:p w:rsidR="00E63D43" w:rsidRPr="002C0DA1" w:rsidRDefault="00E63D43" w:rsidP="00E63D43">
      <w:pPr>
        <w:spacing w:line="420" w:lineRule="exact"/>
        <w:rPr>
          <w:rFonts w:hAnsi="ＭＳ 明朝" w:cstheme="minorBidi"/>
          <w:szCs w:val="24"/>
        </w:rPr>
      </w:pPr>
      <w:r w:rsidRPr="002C0DA1">
        <w:rPr>
          <w:rFonts w:hAnsi="ＭＳ 明朝" w:cstheme="minorBidi" w:hint="eastAsia"/>
          <w:szCs w:val="24"/>
        </w:rPr>
        <w:t xml:space="preserve">　　具体的な対応については、改めて各小中学校のホームページ</w:t>
      </w:r>
      <w:r w:rsidR="00F40720" w:rsidRPr="002C0DA1">
        <w:rPr>
          <w:rFonts w:hAnsi="ＭＳ 明朝" w:cstheme="minorBidi" w:hint="eastAsia"/>
          <w:szCs w:val="24"/>
        </w:rPr>
        <w:t>等</w:t>
      </w:r>
      <w:r w:rsidR="002C0DA1">
        <w:rPr>
          <w:rFonts w:hAnsi="ＭＳ 明朝" w:cstheme="minorBidi" w:hint="eastAsia"/>
          <w:szCs w:val="24"/>
        </w:rPr>
        <w:t>でお知らせする</w:t>
      </w:r>
      <w:r w:rsidRPr="002C0DA1">
        <w:rPr>
          <w:rFonts w:hAnsi="ＭＳ 明朝" w:cstheme="minorBidi" w:hint="eastAsia"/>
          <w:szCs w:val="24"/>
        </w:rPr>
        <w:t>。</w:t>
      </w:r>
    </w:p>
    <w:tbl>
      <w:tblPr>
        <w:tblpPr w:leftFromText="142" w:rightFromText="142" w:vertAnchor="page" w:horzAnchor="page" w:tblpX="4544" w:tblpY="14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70"/>
      </w:tblGrid>
      <w:tr w:rsidR="00475E41" w:rsidRPr="00DE44AB" w:rsidTr="00475E4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E41" w:rsidRPr="00DE44AB" w:rsidRDefault="00475E41" w:rsidP="00475E4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E41" w:rsidRPr="00DE44AB" w:rsidRDefault="00475E41" w:rsidP="00475E4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="1204"/>
              <w:jc w:val="righ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</w:tr>
      <w:tr w:rsidR="00475E41" w:rsidRPr="00DE44AB" w:rsidTr="00475E4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E41" w:rsidRPr="00DE44AB" w:rsidRDefault="00475E41" w:rsidP="00475E4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E41" w:rsidRPr="00DE44AB" w:rsidRDefault="00475E41" w:rsidP="00475E4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36"/>
              <w:jc w:val="lef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</w:tr>
      <w:tr w:rsidR="00475E41" w:rsidRPr="00DE44AB" w:rsidTr="00475E4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E41" w:rsidRPr="00DE44AB" w:rsidRDefault="00475E41" w:rsidP="00475E4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E41" w:rsidRPr="00DE44AB" w:rsidRDefault="00475E41" w:rsidP="00475E4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36"/>
              <w:jc w:val="lef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</w:tr>
      <w:tr w:rsidR="00475E41" w:rsidRPr="00DE44AB" w:rsidTr="00475E4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E41" w:rsidRPr="00DE44AB" w:rsidRDefault="00475E41" w:rsidP="00475E41">
            <w:pPr>
              <w:suppressAutoHyphens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E41" w:rsidRPr="00DE44AB" w:rsidRDefault="00475E41" w:rsidP="00475E4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36"/>
              <w:jc w:val="left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</w:rPr>
            </w:pPr>
          </w:p>
        </w:tc>
      </w:tr>
    </w:tbl>
    <w:p w:rsidR="00B85EA4" w:rsidRPr="00B85EA4" w:rsidRDefault="00B85EA4" w:rsidP="0047743F">
      <w:pPr>
        <w:autoSpaceDE w:val="0"/>
        <w:autoSpaceDN w:val="0"/>
        <w:ind w:firstLineChars="1299" w:firstLine="3118"/>
        <w:rPr>
          <w:szCs w:val="24"/>
        </w:rPr>
      </w:pPr>
    </w:p>
    <w:p w:rsidR="006843C2" w:rsidRPr="00ED3B56" w:rsidRDefault="006843C2" w:rsidP="00475E41">
      <w:pPr>
        <w:autoSpaceDE w:val="0"/>
        <w:autoSpaceDN w:val="0"/>
        <w:rPr>
          <w:szCs w:val="24"/>
        </w:rPr>
      </w:pPr>
    </w:p>
    <w:sectPr w:rsidR="006843C2" w:rsidRPr="00ED3B56" w:rsidSect="00D86CC9">
      <w:pgSz w:w="11906" w:h="16838" w:code="9"/>
      <w:pgMar w:top="1304" w:right="1418" w:bottom="1304" w:left="1418" w:header="851" w:footer="992" w:gutter="0"/>
      <w:cols w:space="425"/>
      <w:docGrid w:type="lines" w:linePitch="406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26" w:rsidRDefault="00492126">
      <w:r>
        <w:separator/>
      </w:r>
    </w:p>
  </w:endnote>
  <w:endnote w:type="continuationSeparator" w:id="0">
    <w:p w:rsidR="00492126" w:rsidRDefault="0049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26" w:rsidRDefault="00492126">
      <w:r>
        <w:separator/>
      </w:r>
    </w:p>
  </w:footnote>
  <w:footnote w:type="continuationSeparator" w:id="0">
    <w:p w:rsidR="00492126" w:rsidRDefault="0049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5"/>
  <w:drawingGridVerticalSpacing w:val="20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2"/>
    <w:rsid w:val="00000E8C"/>
    <w:rsid w:val="0000555D"/>
    <w:rsid w:val="00005CA6"/>
    <w:rsid w:val="00007EFF"/>
    <w:rsid w:val="00014E3B"/>
    <w:rsid w:val="0002754B"/>
    <w:rsid w:val="000539D9"/>
    <w:rsid w:val="0007570F"/>
    <w:rsid w:val="00087300"/>
    <w:rsid w:val="000B6F73"/>
    <w:rsid w:val="000C3D51"/>
    <w:rsid w:val="000D256C"/>
    <w:rsid w:val="000E58A5"/>
    <w:rsid w:val="000E74F3"/>
    <w:rsid w:val="000F45B4"/>
    <w:rsid w:val="00105955"/>
    <w:rsid w:val="0011155C"/>
    <w:rsid w:val="00113D0F"/>
    <w:rsid w:val="001155FC"/>
    <w:rsid w:val="00122509"/>
    <w:rsid w:val="00132170"/>
    <w:rsid w:val="00167A6E"/>
    <w:rsid w:val="00193B6A"/>
    <w:rsid w:val="00194364"/>
    <w:rsid w:val="00196F7D"/>
    <w:rsid w:val="001A354A"/>
    <w:rsid w:val="001A39F7"/>
    <w:rsid w:val="001B44D7"/>
    <w:rsid w:val="001D02E5"/>
    <w:rsid w:val="001E0687"/>
    <w:rsid w:val="001E4F58"/>
    <w:rsid w:val="001F4F19"/>
    <w:rsid w:val="00204D03"/>
    <w:rsid w:val="00207ACC"/>
    <w:rsid w:val="0021552F"/>
    <w:rsid w:val="00234EB1"/>
    <w:rsid w:val="00235ECF"/>
    <w:rsid w:val="00235F7A"/>
    <w:rsid w:val="002464B5"/>
    <w:rsid w:val="002535AF"/>
    <w:rsid w:val="0025794D"/>
    <w:rsid w:val="00264DC5"/>
    <w:rsid w:val="0027393C"/>
    <w:rsid w:val="0029303A"/>
    <w:rsid w:val="002A002E"/>
    <w:rsid w:val="002A76B5"/>
    <w:rsid w:val="002C0DA1"/>
    <w:rsid w:val="002D6785"/>
    <w:rsid w:val="002E7390"/>
    <w:rsid w:val="002F16E9"/>
    <w:rsid w:val="002F4DC3"/>
    <w:rsid w:val="00307893"/>
    <w:rsid w:val="00321732"/>
    <w:rsid w:val="003238D2"/>
    <w:rsid w:val="00325BB6"/>
    <w:rsid w:val="0034620D"/>
    <w:rsid w:val="00347803"/>
    <w:rsid w:val="00351926"/>
    <w:rsid w:val="003528C1"/>
    <w:rsid w:val="003547A1"/>
    <w:rsid w:val="003600B6"/>
    <w:rsid w:val="00361F89"/>
    <w:rsid w:val="003627F5"/>
    <w:rsid w:val="00381730"/>
    <w:rsid w:val="0038448B"/>
    <w:rsid w:val="00391B28"/>
    <w:rsid w:val="003976C0"/>
    <w:rsid w:val="003C0524"/>
    <w:rsid w:val="003C3081"/>
    <w:rsid w:val="003D7561"/>
    <w:rsid w:val="003D7F3C"/>
    <w:rsid w:val="003E0702"/>
    <w:rsid w:val="003E2E39"/>
    <w:rsid w:val="00403E0C"/>
    <w:rsid w:val="00411CD5"/>
    <w:rsid w:val="0041405B"/>
    <w:rsid w:val="00423287"/>
    <w:rsid w:val="00425366"/>
    <w:rsid w:val="00433146"/>
    <w:rsid w:val="004470D3"/>
    <w:rsid w:val="0046188B"/>
    <w:rsid w:val="00475E41"/>
    <w:rsid w:val="0047743F"/>
    <w:rsid w:val="00492126"/>
    <w:rsid w:val="004B1741"/>
    <w:rsid w:val="004B1F3C"/>
    <w:rsid w:val="004D5AF2"/>
    <w:rsid w:val="004E5496"/>
    <w:rsid w:val="004E7ADD"/>
    <w:rsid w:val="004F7CD6"/>
    <w:rsid w:val="00511CED"/>
    <w:rsid w:val="0054089B"/>
    <w:rsid w:val="005710F7"/>
    <w:rsid w:val="00582628"/>
    <w:rsid w:val="00594912"/>
    <w:rsid w:val="00597EA2"/>
    <w:rsid w:val="005A593D"/>
    <w:rsid w:val="005B1B4C"/>
    <w:rsid w:val="005E0784"/>
    <w:rsid w:val="005F7DD7"/>
    <w:rsid w:val="00604EB6"/>
    <w:rsid w:val="00623F29"/>
    <w:rsid w:val="006306EA"/>
    <w:rsid w:val="00654C2A"/>
    <w:rsid w:val="00672EFD"/>
    <w:rsid w:val="006749D8"/>
    <w:rsid w:val="006823B2"/>
    <w:rsid w:val="006843C2"/>
    <w:rsid w:val="006A45BC"/>
    <w:rsid w:val="006C43FF"/>
    <w:rsid w:val="006E5731"/>
    <w:rsid w:val="006F0AB9"/>
    <w:rsid w:val="0071177A"/>
    <w:rsid w:val="00724BC5"/>
    <w:rsid w:val="0073382D"/>
    <w:rsid w:val="00746A58"/>
    <w:rsid w:val="007515B9"/>
    <w:rsid w:val="007565C5"/>
    <w:rsid w:val="00763E8E"/>
    <w:rsid w:val="00764F1D"/>
    <w:rsid w:val="00771872"/>
    <w:rsid w:val="007B0AE8"/>
    <w:rsid w:val="007B33F8"/>
    <w:rsid w:val="007C078A"/>
    <w:rsid w:val="007C186A"/>
    <w:rsid w:val="007C4505"/>
    <w:rsid w:val="007C4B3D"/>
    <w:rsid w:val="007D2A0A"/>
    <w:rsid w:val="007D3A52"/>
    <w:rsid w:val="007D407F"/>
    <w:rsid w:val="007E3296"/>
    <w:rsid w:val="0080346F"/>
    <w:rsid w:val="008262D5"/>
    <w:rsid w:val="008346EF"/>
    <w:rsid w:val="00842A2F"/>
    <w:rsid w:val="0084674E"/>
    <w:rsid w:val="00856CE4"/>
    <w:rsid w:val="00864525"/>
    <w:rsid w:val="00873409"/>
    <w:rsid w:val="00882CD8"/>
    <w:rsid w:val="008835A9"/>
    <w:rsid w:val="00885444"/>
    <w:rsid w:val="00885DDD"/>
    <w:rsid w:val="0089371F"/>
    <w:rsid w:val="008A66CB"/>
    <w:rsid w:val="008B11C2"/>
    <w:rsid w:val="008B24E6"/>
    <w:rsid w:val="008C4195"/>
    <w:rsid w:val="008D6CD1"/>
    <w:rsid w:val="00907260"/>
    <w:rsid w:val="00942A3D"/>
    <w:rsid w:val="00947FCC"/>
    <w:rsid w:val="00951C8F"/>
    <w:rsid w:val="009667C4"/>
    <w:rsid w:val="00973043"/>
    <w:rsid w:val="009779A9"/>
    <w:rsid w:val="00981C21"/>
    <w:rsid w:val="00987EF9"/>
    <w:rsid w:val="009B44A5"/>
    <w:rsid w:val="009B4D7C"/>
    <w:rsid w:val="00A53E9B"/>
    <w:rsid w:val="00A66221"/>
    <w:rsid w:val="00A6678A"/>
    <w:rsid w:val="00A80C91"/>
    <w:rsid w:val="00A9497D"/>
    <w:rsid w:val="00A95BDB"/>
    <w:rsid w:val="00AA3FE8"/>
    <w:rsid w:val="00AB5902"/>
    <w:rsid w:val="00AC6510"/>
    <w:rsid w:val="00AD2A9B"/>
    <w:rsid w:val="00AF29BC"/>
    <w:rsid w:val="00B02ABF"/>
    <w:rsid w:val="00B139CC"/>
    <w:rsid w:val="00B30CAB"/>
    <w:rsid w:val="00B33B2E"/>
    <w:rsid w:val="00B50D36"/>
    <w:rsid w:val="00B56C4E"/>
    <w:rsid w:val="00B62225"/>
    <w:rsid w:val="00B720B1"/>
    <w:rsid w:val="00B85EA4"/>
    <w:rsid w:val="00B95238"/>
    <w:rsid w:val="00BA4D7E"/>
    <w:rsid w:val="00BB0C7F"/>
    <w:rsid w:val="00BB1EFF"/>
    <w:rsid w:val="00BB63CD"/>
    <w:rsid w:val="00BC6B38"/>
    <w:rsid w:val="00BD378C"/>
    <w:rsid w:val="00BD5E75"/>
    <w:rsid w:val="00BF15E7"/>
    <w:rsid w:val="00C130E2"/>
    <w:rsid w:val="00C21DDF"/>
    <w:rsid w:val="00C242B2"/>
    <w:rsid w:val="00C372A2"/>
    <w:rsid w:val="00C518F4"/>
    <w:rsid w:val="00C662CB"/>
    <w:rsid w:val="00C7097B"/>
    <w:rsid w:val="00C70D75"/>
    <w:rsid w:val="00C778F7"/>
    <w:rsid w:val="00C82D05"/>
    <w:rsid w:val="00C92BF7"/>
    <w:rsid w:val="00CA7265"/>
    <w:rsid w:val="00CB0C76"/>
    <w:rsid w:val="00CC4464"/>
    <w:rsid w:val="00CC6995"/>
    <w:rsid w:val="00CD2507"/>
    <w:rsid w:val="00CD2E68"/>
    <w:rsid w:val="00CD73AD"/>
    <w:rsid w:val="00CE1748"/>
    <w:rsid w:val="00CF37BE"/>
    <w:rsid w:val="00CF448B"/>
    <w:rsid w:val="00D037D6"/>
    <w:rsid w:val="00D14164"/>
    <w:rsid w:val="00D154C7"/>
    <w:rsid w:val="00D16199"/>
    <w:rsid w:val="00D21873"/>
    <w:rsid w:val="00D30FD2"/>
    <w:rsid w:val="00D40CBA"/>
    <w:rsid w:val="00D41641"/>
    <w:rsid w:val="00D61BB5"/>
    <w:rsid w:val="00D66FF3"/>
    <w:rsid w:val="00D67E0F"/>
    <w:rsid w:val="00D81E2B"/>
    <w:rsid w:val="00D86CC9"/>
    <w:rsid w:val="00D95BF2"/>
    <w:rsid w:val="00DA4457"/>
    <w:rsid w:val="00DC5FCC"/>
    <w:rsid w:val="00DE44AB"/>
    <w:rsid w:val="00E20994"/>
    <w:rsid w:val="00E45D72"/>
    <w:rsid w:val="00E4767A"/>
    <w:rsid w:val="00E63333"/>
    <w:rsid w:val="00E63D43"/>
    <w:rsid w:val="00E65B1E"/>
    <w:rsid w:val="00E66B47"/>
    <w:rsid w:val="00E71976"/>
    <w:rsid w:val="00E746CC"/>
    <w:rsid w:val="00E76E71"/>
    <w:rsid w:val="00E93904"/>
    <w:rsid w:val="00EA3C22"/>
    <w:rsid w:val="00EA6E6A"/>
    <w:rsid w:val="00EB51D6"/>
    <w:rsid w:val="00EC0F05"/>
    <w:rsid w:val="00ED3B56"/>
    <w:rsid w:val="00F122CF"/>
    <w:rsid w:val="00F34C33"/>
    <w:rsid w:val="00F40720"/>
    <w:rsid w:val="00F47A8E"/>
    <w:rsid w:val="00F51850"/>
    <w:rsid w:val="00F548B2"/>
    <w:rsid w:val="00F67FE6"/>
    <w:rsid w:val="00F70CEE"/>
    <w:rsid w:val="00F73A85"/>
    <w:rsid w:val="00F8539C"/>
    <w:rsid w:val="00F874AD"/>
    <w:rsid w:val="00F900B6"/>
    <w:rsid w:val="00F942B2"/>
    <w:rsid w:val="00FB7B40"/>
    <w:rsid w:val="00FC2AE8"/>
    <w:rsid w:val="00FF1F1A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EDEEA"/>
  <w15:chartTrackingRefBased/>
  <w15:docId w15:val="{7CFFDFBE-961F-4318-88AD-1DDF2266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D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EA2"/>
    <w:rPr>
      <w:color w:val="0000FF"/>
      <w:u w:val="single"/>
    </w:rPr>
  </w:style>
  <w:style w:type="paragraph" w:styleId="a4">
    <w:name w:val="Note Heading"/>
    <w:basedOn w:val="a"/>
    <w:next w:val="a"/>
    <w:rsid w:val="00885444"/>
    <w:pPr>
      <w:jc w:val="center"/>
    </w:pPr>
  </w:style>
  <w:style w:type="paragraph" w:styleId="a5">
    <w:name w:val="Closing"/>
    <w:basedOn w:val="a"/>
    <w:rsid w:val="00885444"/>
    <w:pPr>
      <w:jc w:val="right"/>
    </w:pPr>
  </w:style>
  <w:style w:type="paragraph" w:styleId="a6">
    <w:name w:val="header"/>
    <w:basedOn w:val="a"/>
    <w:rsid w:val="00196F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96F7D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sid w:val="0047743F"/>
    <w:rPr>
      <w:color w:val="800080"/>
      <w:u w:val="single"/>
    </w:rPr>
  </w:style>
  <w:style w:type="paragraph" w:styleId="a9">
    <w:name w:val="Balloon Text"/>
    <w:basedOn w:val="a"/>
    <w:link w:val="aa"/>
    <w:rsid w:val="007D407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D407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3547A1"/>
  </w:style>
  <w:style w:type="character" w:customStyle="1" w:styleId="ac">
    <w:name w:val="日付 (文字)"/>
    <w:basedOn w:val="a0"/>
    <w:link w:val="ab"/>
    <w:rsid w:val="003547A1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１９健対第　　　　号</vt:lpstr>
      <vt:lpstr>１９健対第　　　　号</vt:lpstr>
    </vt:vector>
  </TitlesOfParts>
  <Company>愛知県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１９健対第　　　　号</dc:title>
  <dc:subject/>
  <dc:creator>Install</dc:creator>
  <cp:keywords/>
  <dc:description/>
  <cp:lastModifiedBy>犬山市</cp:lastModifiedBy>
  <cp:revision>5</cp:revision>
  <cp:lastPrinted>2021-10-15T08:47:00Z</cp:lastPrinted>
  <dcterms:created xsi:type="dcterms:W3CDTF">2021-10-15T08:13:00Z</dcterms:created>
  <dcterms:modified xsi:type="dcterms:W3CDTF">2021-10-16T02:12:00Z</dcterms:modified>
</cp:coreProperties>
</file>